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77777777"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77777777" w:rsidR="000A2833" w:rsidRPr="00455A3C" w:rsidRDefault="0018797C" w:rsidP="00AC35C4">
      <w:pPr>
        <w:pStyle w:val="F2-zkladn"/>
        <w:rPr>
          <w:b/>
          <w:sz w:val="28"/>
          <w:szCs w:val="28"/>
        </w:rPr>
      </w:pPr>
      <w:r>
        <w:rPr>
          <w:noProof/>
        </w:rPr>
        <mc:AlternateContent>
          <mc:Choice Requires="wps">
            <w:drawing>
              <wp:inline distT="0" distB="0" distL="0" distR="0" wp14:anchorId="65142C85" wp14:editId="51FCCA1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14:paraId="18675A51" w14:textId="2CC592E6" w:rsidR="000A2833" w:rsidRPr="00455A3C" w:rsidRDefault="0018797C" w:rsidP="00AC35C4">
      <w:pPr>
        <w:pStyle w:val="F2-zkladn"/>
        <w:tabs>
          <w:tab w:val="right" w:pos="9070"/>
        </w:tabs>
      </w:pPr>
      <w:r>
        <w:rPr>
          <w:noProof/>
        </w:rPr>
        <mc:AlternateContent>
          <mc:Choice Requires="wps">
            <w:drawing>
              <wp:inline distT="0" distB="0" distL="0" distR="0" wp14:anchorId="69E119FC" wp14:editId="7BAEC5A4">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611687">
        <w:t>1</w:t>
      </w:r>
      <w:r w:rsidR="00A30105" w:rsidRPr="00455A3C">
        <w:t xml:space="preserve">. </w:t>
      </w:r>
      <w:r w:rsidR="00534D3B">
        <w:t>února</w:t>
      </w:r>
      <w:r w:rsidR="00A30105" w:rsidRPr="00455A3C">
        <w:t xml:space="preserve"> 20</w:t>
      </w:r>
      <w:r w:rsidR="00A7414F" w:rsidRPr="00455A3C">
        <w:t>2</w:t>
      </w:r>
      <w:r w:rsidR="00534D3B">
        <w:t>2</w:t>
      </w:r>
    </w:p>
    <w:p w14:paraId="06416E19" w14:textId="77777777" w:rsidR="000C727D" w:rsidRDefault="000C727D" w:rsidP="00303102">
      <w:pPr>
        <w:spacing w:after="120"/>
        <w:rPr>
          <w:b/>
          <w:sz w:val="28"/>
          <w:szCs w:val="28"/>
        </w:rPr>
      </w:pPr>
    </w:p>
    <w:p w14:paraId="563CBE10" w14:textId="6D5631B9" w:rsidR="00303102" w:rsidRPr="00303102" w:rsidRDefault="00ED0F0B" w:rsidP="00611687">
      <w:pPr>
        <w:spacing w:after="120"/>
        <w:rPr>
          <w:b/>
          <w:sz w:val="28"/>
          <w:szCs w:val="28"/>
        </w:rPr>
      </w:pPr>
      <w:proofErr w:type="spellStart"/>
      <w:r w:rsidRPr="00ED0F0B">
        <w:rPr>
          <w:b/>
          <w:sz w:val="28"/>
          <w:szCs w:val="28"/>
        </w:rPr>
        <w:t>Fidelity</w:t>
      </w:r>
      <w:proofErr w:type="spellEnd"/>
      <w:r w:rsidRPr="00ED0F0B">
        <w:rPr>
          <w:b/>
          <w:sz w:val="28"/>
          <w:szCs w:val="28"/>
        </w:rPr>
        <w:t xml:space="preserve"> International: </w:t>
      </w:r>
      <w:proofErr w:type="spellStart"/>
      <w:r w:rsidRPr="00ED0F0B">
        <w:rPr>
          <w:b/>
          <w:sz w:val="28"/>
          <w:szCs w:val="28"/>
        </w:rPr>
        <w:t>Metaverzum</w:t>
      </w:r>
      <w:proofErr w:type="spellEnd"/>
      <w:r w:rsidRPr="00ED0F0B">
        <w:rPr>
          <w:b/>
          <w:sz w:val="28"/>
          <w:szCs w:val="28"/>
        </w:rPr>
        <w:t xml:space="preserve"> – Je to meta?</w:t>
      </w:r>
    </w:p>
    <w:p w14:paraId="438B261F" w14:textId="382842E2" w:rsidR="00ED0F0B" w:rsidRPr="00ED0F0B" w:rsidRDefault="00ED0F0B" w:rsidP="00ED0F0B">
      <w:pPr>
        <w:spacing w:after="210" w:line="240" w:lineRule="auto"/>
        <w:rPr>
          <w:b/>
        </w:rPr>
      </w:pPr>
      <w:r w:rsidRPr="00ED0F0B">
        <w:rPr>
          <w:b/>
        </w:rPr>
        <w:t>Kolem "</w:t>
      </w:r>
      <w:proofErr w:type="spellStart"/>
      <w:r w:rsidRPr="00ED0F0B">
        <w:rPr>
          <w:b/>
        </w:rPr>
        <w:t>metaverza</w:t>
      </w:r>
      <w:proofErr w:type="spellEnd"/>
      <w:r w:rsidRPr="00ED0F0B">
        <w:rPr>
          <w:b/>
        </w:rPr>
        <w:t>" se strhl velký humbuk. Technologie, která by z něj mohla udělat (virtuální) realitu, se blíží</w:t>
      </w:r>
      <w:r>
        <w:rPr>
          <w:b/>
        </w:rPr>
        <w:t xml:space="preserve">, </w:t>
      </w:r>
      <w:r w:rsidRPr="00ED0F0B">
        <w:rPr>
          <w:b/>
        </w:rPr>
        <w:t xml:space="preserve">a internetoví giganti na jeho úspěch hodně sázejí. Ale platí vše, co se o tom říká? A je to "meta" pro investory?   </w:t>
      </w:r>
    </w:p>
    <w:p w14:paraId="0E59C01F" w14:textId="0A277780" w:rsidR="00303102" w:rsidRDefault="002476C8" w:rsidP="00303102">
      <w:pPr>
        <w:spacing w:after="120"/>
        <w:rPr>
          <w:b/>
        </w:rPr>
      </w:pPr>
      <w:r>
        <w:rPr>
          <w:b/>
        </w:rPr>
        <w:t>Tentokrát by to mohlo být jinak</w:t>
      </w:r>
    </w:p>
    <w:p w14:paraId="363277D9" w14:textId="7DFCA075" w:rsidR="002476C8" w:rsidRPr="002476C8" w:rsidRDefault="002476C8" w:rsidP="002476C8">
      <w:pPr>
        <w:pStyle w:val="FIL3Body"/>
        <w:jc w:val="both"/>
        <w:rPr>
          <w:rFonts w:cs="Arial"/>
          <w:color w:val="auto"/>
          <w:sz w:val="20"/>
          <w:szCs w:val="20"/>
          <w:lang w:val="cs-CZ" w:eastAsia="cs-CZ"/>
        </w:rPr>
      </w:pPr>
      <w:r w:rsidRPr="00BE3D8C">
        <w:rPr>
          <w:rFonts w:cs="Arial"/>
          <w:i/>
          <w:iCs/>
          <w:color w:val="auto"/>
          <w:sz w:val="20"/>
          <w:szCs w:val="20"/>
          <w:lang w:val="cs-CZ" w:eastAsia="cs-CZ"/>
        </w:rPr>
        <w:t xml:space="preserve">„Už jednou jsme něco podobného zažili. V roce 2003 slibovala aplikace s názvem Second </w:t>
      </w:r>
      <w:proofErr w:type="spellStart"/>
      <w:r w:rsidRPr="00BE3D8C">
        <w:rPr>
          <w:rFonts w:cs="Arial"/>
          <w:i/>
          <w:iCs/>
          <w:color w:val="auto"/>
          <w:sz w:val="20"/>
          <w:szCs w:val="20"/>
          <w:lang w:val="cs-CZ" w:eastAsia="cs-CZ"/>
        </w:rPr>
        <w:t>Life</w:t>
      </w:r>
      <w:proofErr w:type="spellEnd"/>
      <w:r w:rsidRPr="00BE3D8C">
        <w:rPr>
          <w:rFonts w:cs="Arial"/>
          <w:i/>
          <w:iCs/>
          <w:color w:val="auto"/>
          <w:sz w:val="20"/>
          <w:szCs w:val="20"/>
          <w:lang w:val="cs-CZ" w:eastAsia="cs-CZ"/>
        </w:rPr>
        <w:t xml:space="preserve"> nový způsob virtuálního života s využitím avatarů k digitálnímu nakupování a komunikaci. Mnoho velkých značek sem spěchalo otevřít virtuální obchody, ale Second </w:t>
      </w:r>
      <w:proofErr w:type="spellStart"/>
      <w:r w:rsidRPr="00BE3D8C">
        <w:rPr>
          <w:rFonts w:cs="Arial"/>
          <w:i/>
          <w:iCs/>
          <w:color w:val="auto"/>
          <w:sz w:val="20"/>
          <w:szCs w:val="20"/>
          <w:lang w:val="cs-CZ" w:eastAsia="cs-CZ"/>
        </w:rPr>
        <w:t>Life</w:t>
      </w:r>
      <w:proofErr w:type="spellEnd"/>
      <w:r w:rsidRPr="00BE3D8C">
        <w:rPr>
          <w:rFonts w:cs="Arial"/>
          <w:i/>
          <w:iCs/>
          <w:color w:val="auto"/>
          <w:sz w:val="20"/>
          <w:szCs w:val="20"/>
          <w:lang w:val="cs-CZ" w:eastAsia="cs-CZ"/>
        </w:rPr>
        <w:t xml:space="preserve"> nikdy nepřilákal více než milion pravidelných</w:t>
      </w:r>
      <w:r w:rsidR="00746455">
        <w:rPr>
          <w:rFonts w:cs="Arial"/>
          <w:i/>
          <w:iCs/>
          <w:color w:val="FF0000"/>
          <w:sz w:val="20"/>
          <w:szCs w:val="20"/>
          <w:lang w:val="cs-CZ" w:eastAsia="cs-CZ"/>
        </w:rPr>
        <w:t xml:space="preserve"> </w:t>
      </w:r>
      <w:r w:rsidR="00746455" w:rsidRPr="003E03EB">
        <w:rPr>
          <w:rFonts w:cs="Arial"/>
          <w:i/>
          <w:iCs/>
          <w:color w:val="auto"/>
          <w:sz w:val="20"/>
          <w:szCs w:val="20"/>
          <w:lang w:val="cs-CZ" w:eastAsia="cs-CZ"/>
        </w:rPr>
        <w:t>uživatelů</w:t>
      </w:r>
      <w:r w:rsidRPr="00BE3D8C">
        <w:rPr>
          <w:rFonts w:cs="Arial"/>
          <w:i/>
          <w:iCs/>
          <w:color w:val="auto"/>
          <w:sz w:val="20"/>
          <w:szCs w:val="20"/>
          <w:lang w:val="cs-CZ" w:eastAsia="cs-CZ"/>
        </w:rPr>
        <w:t>,“</w:t>
      </w:r>
      <w:r w:rsidR="00771D19">
        <w:rPr>
          <w:rFonts w:cs="Arial"/>
          <w:color w:val="auto"/>
          <w:sz w:val="20"/>
          <w:szCs w:val="20"/>
          <w:lang w:val="cs-CZ" w:eastAsia="cs-CZ"/>
        </w:rPr>
        <w:t xml:space="preserve"> </w:t>
      </w:r>
      <w:r w:rsidRPr="002476C8">
        <w:rPr>
          <w:rFonts w:cs="Arial"/>
          <w:color w:val="auto"/>
          <w:sz w:val="20"/>
          <w:szCs w:val="20"/>
          <w:lang w:val="cs-CZ" w:eastAsia="cs-CZ"/>
        </w:rPr>
        <w:t xml:space="preserve">říká </w:t>
      </w:r>
      <w:hyperlink r:id="rId9" w:history="1">
        <w:r w:rsidRPr="002476C8">
          <w:rPr>
            <w:rFonts w:cs="Arial"/>
            <w:color w:val="auto"/>
            <w:sz w:val="20"/>
            <w:szCs w:val="20"/>
            <w:lang w:val="cs-CZ" w:eastAsia="cs-CZ"/>
          </w:rPr>
          <w:t xml:space="preserve">Jonathan </w:t>
        </w:r>
        <w:proofErr w:type="spellStart"/>
        <w:r w:rsidRPr="002476C8">
          <w:rPr>
            <w:rFonts w:cs="Arial"/>
            <w:color w:val="auto"/>
            <w:sz w:val="20"/>
            <w:szCs w:val="20"/>
            <w:lang w:val="cs-CZ" w:eastAsia="cs-CZ"/>
          </w:rPr>
          <w:t>Tseng</w:t>
        </w:r>
        <w:proofErr w:type="spellEnd"/>
      </w:hyperlink>
      <w:r w:rsidRPr="002476C8">
        <w:rPr>
          <w:rFonts w:cs="Arial"/>
          <w:color w:val="auto"/>
          <w:sz w:val="20"/>
          <w:szCs w:val="20"/>
          <w:lang w:val="cs-CZ" w:eastAsia="cs-CZ"/>
        </w:rPr>
        <w:t xml:space="preserve">, analytik </w:t>
      </w:r>
      <w:proofErr w:type="spellStart"/>
      <w:r w:rsidRPr="002476C8">
        <w:rPr>
          <w:rFonts w:cs="Arial"/>
          <w:color w:val="auto"/>
          <w:sz w:val="20"/>
          <w:szCs w:val="20"/>
          <w:lang w:val="cs-CZ" w:eastAsia="cs-CZ"/>
        </w:rPr>
        <w:t>Fidelity</w:t>
      </w:r>
      <w:proofErr w:type="spellEnd"/>
      <w:r w:rsidRPr="002476C8">
        <w:rPr>
          <w:rFonts w:cs="Arial"/>
          <w:color w:val="auto"/>
          <w:sz w:val="20"/>
          <w:szCs w:val="20"/>
          <w:lang w:val="cs-CZ" w:eastAsia="cs-CZ"/>
        </w:rPr>
        <w:t xml:space="preserve"> International.</w:t>
      </w:r>
    </w:p>
    <w:p w14:paraId="78497561" w14:textId="12D88651" w:rsidR="00475575" w:rsidRPr="00746455" w:rsidRDefault="00475575" w:rsidP="00475575">
      <w:pPr>
        <w:spacing w:after="210" w:line="240" w:lineRule="auto"/>
      </w:pPr>
      <w:r w:rsidRPr="00746455">
        <w:t xml:space="preserve">Nedávno </w:t>
      </w:r>
      <w:r w:rsidR="00746455" w:rsidRPr="00746455">
        <w:t xml:space="preserve">vytvořily pro své online hráče </w:t>
      </w:r>
      <w:r w:rsidRPr="00746455">
        <w:t xml:space="preserve">videohry jako </w:t>
      </w:r>
      <w:proofErr w:type="spellStart"/>
      <w:r w:rsidRPr="00746455">
        <w:t>Fortnite</w:t>
      </w:r>
      <w:proofErr w:type="spellEnd"/>
      <w:r w:rsidRPr="00746455">
        <w:t xml:space="preserve"> a </w:t>
      </w:r>
      <w:proofErr w:type="spellStart"/>
      <w:r w:rsidRPr="00746455">
        <w:t>Roblox</w:t>
      </w:r>
      <w:proofErr w:type="spellEnd"/>
      <w:r w:rsidRPr="00746455">
        <w:t xml:space="preserve"> </w:t>
      </w:r>
      <w:proofErr w:type="spellStart"/>
      <w:r w:rsidRPr="00746455">
        <w:t>metaverzum</w:t>
      </w:r>
      <w:proofErr w:type="spellEnd"/>
      <w:r w:rsidRPr="00746455">
        <w:t xml:space="preserve"> a uspořádaly virtuální koncerty s hvězdami jako Ariana Grande a </w:t>
      </w:r>
      <w:proofErr w:type="spellStart"/>
      <w:r w:rsidRPr="00746455">
        <w:t>Travis</w:t>
      </w:r>
      <w:proofErr w:type="spellEnd"/>
      <w:r w:rsidRPr="00746455">
        <w:t xml:space="preserve"> </w:t>
      </w:r>
      <w:proofErr w:type="spellStart"/>
      <w:r w:rsidRPr="00746455">
        <w:t>Scott</w:t>
      </w:r>
      <w:proofErr w:type="spellEnd"/>
      <w:r w:rsidRPr="00746455">
        <w:t xml:space="preserve">. </w:t>
      </w:r>
      <w:proofErr w:type="spellStart"/>
      <w:r w:rsidR="00746455">
        <w:t>Metaverzum</w:t>
      </w:r>
      <w:proofErr w:type="spellEnd"/>
      <w:r w:rsidR="00746455">
        <w:t xml:space="preserve"> ovšem </w:t>
      </w:r>
      <w:r w:rsidRPr="00746455">
        <w:t>přilákalo mnohem více návštěvníků než osobní vystoupení</w:t>
      </w:r>
      <w:r w:rsidR="00F52603">
        <w:t xml:space="preserve"> těchto </w:t>
      </w:r>
      <w:r w:rsidRPr="00746455">
        <w:t xml:space="preserve">hvězd. </w:t>
      </w:r>
    </w:p>
    <w:p w14:paraId="47AD9EE8" w14:textId="45ED1F63" w:rsidR="0070043C" w:rsidRPr="0070043C" w:rsidRDefault="0070043C" w:rsidP="0070043C">
      <w:pPr>
        <w:spacing w:after="210" w:line="240" w:lineRule="auto"/>
      </w:pPr>
      <w:r w:rsidRPr="0070043C">
        <w:t xml:space="preserve">Nyní svou verzi </w:t>
      </w:r>
      <w:proofErr w:type="spellStart"/>
      <w:r w:rsidRPr="0070043C">
        <w:t>metaverza</w:t>
      </w:r>
      <w:proofErr w:type="spellEnd"/>
      <w:r w:rsidRPr="0070043C">
        <w:t xml:space="preserve"> vyvíjí i Facebook, který se nedávno přejmenoval na Meta. Otázkou je, zda jej miliardy uživatelů této stránky přijmou. </w:t>
      </w:r>
      <w:r w:rsidR="00F52603">
        <w:t>V</w:t>
      </w:r>
      <w:r w:rsidRPr="0070043C">
        <w:t>zrušení v kombinaci s velkým nárůstem virtuální socializace</w:t>
      </w:r>
      <w:r>
        <w:t>,</w:t>
      </w:r>
      <w:r w:rsidRPr="0070043C">
        <w:t xml:space="preserve"> díky pandemii naznačuje, že je to možné. Zmínky o </w:t>
      </w:r>
      <w:proofErr w:type="spellStart"/>
      <w:r w:rsidRPr="0070043C">
        <w:t>metaverzu</w:t>
      </w:r>
      <w:proofErr w:type="spellEnd"/>
      <w:r w:rsidR="00F52603">
        <w:t xml:space="preserve"> se</w:t>
      </w:r>
      <w:r w:rsidRPr="0070043C">
        <w:t xml:space="preserve"> na firemních setkáních množí mnohem rychleji</w:t>
      </w:r>
      <w:r w:rsidR="000767DF">
        <w:t xml:space="preserve"> </w:t>
      </w:r>
      <w:r w:rsidRPr="0070043C">
        <w:t>než u předchozích technologických trendů (viz graf).</w:t>
      </w:r>
    </w:p>
    <w:p w14:paraId="372D02A6" w14:textId="61E0C64E" w:rsidR="00303102" w:rsidRDefault="00567010" w:rsidP="007238DA">
      <w:pPr>
        <w:spacing w:after="120"/>
        <w:rPr>
          <w:b/>
        </w:rPr>
      </w:pPr>
      <w:r w:rsidRPr="00E40182">
        <w:rPr>
          <w:noProof/>
        </w:rPr>
        <w:drawing>
          <wp:anchor distT="0" distB="0" distL="114300" distR="114300" simplePos="0" relativeHeight="251658240" behindDoc="1" locked="0" layoutInCell="1" allowOverlap="1" wp14:anchorId="33B79A4F" wp14:editId="32BDEA9C">
            <wp:simplePos x="0" y="0"/>
            <wp:positionH relativeFrom="margin">
              <wp:posOffset>280670</wp:posOffset>
            </wp:positionH>
            <wp:positionV relativeFrom="paragraph">
              <wp:posOffset>88900</wp:posOffset>
            </wp:positionV>
            <wp:extent cx="3905250" cy="2299970"/>
            <wp:effectExtent l="0" t="0" r="0" b="5080"/>
            <wp:wrapTight wrapText="bothSides">
              <wp:wrapPolygon edited="0">
                <wp:start x="0" y="0"/>
                <wp:lineTo x="0" y="21469"/>
                <wp:lineTo x="21495" y="21469"/>
                <wp:lineTo x="21495" y="0"/>
                <wp:lineTo x="0" y="0"/>
              </wp:wrapPolygon>
            </wp:wrapTight>
            <wp:docPr id="5" name="Chart 5">
              <a:extLst xmlns:a="http://schemas.openxmlformats.org/drawingml/2006/main">
                <a:ext uri="{FF2B5EF4-FFF2-40B4-BE49-F238E27FC236}">
                  <a16:creationId xmlns:a16="http://schemas.microsoft.com/office/drawing/2014/main" id="{BB927E86-47F3-4BEB-B056-1A7AC53C4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C02A350" w14:textId="742F9E82" w:rsidR="00303102" w:rsidRDefault="00303102" w:rsidP="007238DA">
      <w:pPr>
        <w:spacing w:after="120"/>
        <w:rPr>
          <w:b/>
        </w:rPr>
      </w:pPr>
    </w:p>
    <w:p w14:paraId="2F5114E1" w14:textId="5CC528B0" w:rsidR="00303102" w:rsidRDefault="00303102" w:rsidP="007238DA">
      <w:pPr>
        <w:spacing w:after="120"/>
        <w:rPr>
          <w:b/>
        </w:rPr>
      </w:pPr>
    </w:p>
    <w:p w14:paraId="4E5D35D9" w14:textId="7F1B2CFE" w:rsidR="00303102" w:rsidRDefault="00303102" w:rsidP="007238DA">
      <w:pPr>
        <w:spacing w:after="120"/>
        <w:rPr>
          <w:b/>
        </w:rPr>
      </w:pPr>
    </w:p>
    <w:p w14:paraId="1AEDA3C0" w14:textId="62873F05" w:rsidR="00303102" w:rsidRDefault="00303102" w:rsidP="007238DA">
      <w:pPr>
        <w:spacing w:after="120"/>
        <w:rPr>
          <w:b/>
        </w:rPr>
      </w:pPr>
    </w:p>
    <w:p w14:paraId="572A6EA9" w14:textId="77777777" w:rsidR="00303102" w:rsidRDefault="00303102" w:rsidP="007238DA">
      <w:pPr>
        <w:spacing w:after="120"/>
        <w:rPr>
          <w:b/>
        </w:rPr>
      </w:pPr>
    </w:p>
    <w:p w14:paraId="5AA7850D" w14:textId="77777777" w:rsidR="000767DF" w:rsidRDefault="000767DF" w:rsidP="00BD223A">
      <w:pPr>
        <w:spacing w:after="120"/>
        <w:rPr>
          <w:b/>
        </w:rPr>
      </w:pPr>
    </w:p>
    <w:p w14:paraId="3851E5AC" w14:textId="77777777" w:rsidR="000767DF" w:rsidRDefault="000767DF" w:rsidP="00BD223A">
      <w:pPr>
        <w:spacing w:after="120"/>
        <w:rPr>
          <w:b/>
        </w:rPr>
      </w:pPr>
    </w:p>
    <w:p w14:paraId="3042ACAF" w14:textId="2D3AD8AB" w:rsidR="000767DF" w:rsidRDefault="000767DF" w:rsidP="000767DF">
      <w:pPr>
        <w:spacing w:after="210" w:line="240" w:lineRule="auto"/>
      </w:pPr>
      <w:r w:rsidRPr="000767DF">
        <w:t xml:space="preserve">Facebook doufá, že jeho </w:t>
      </w:r>
      <w:proofErr w:type="spellStart"/>
      <w:r w:rsidRPr="000767DF">
        <w:t>metaverzum</w:t>
      </w:r>
      <w:proofErr w:type="spellEnd"/>
      <w:r w:rsidRPr="000767DF">
        <w:t xml:space="preserve"> bude spojením digitálního a fyzického světa. Místo internetu přes skleněné tabule</w:t>
      </w:r>
      <w:r>
        <w:t>,</w:t>
      </w:r>
      <w:r w:rsidRPr="000767DF">
        <w:t xml:space="preserve"> bude </w:t>
      </w:r>
      <w:proofErr w:type="spellStart"/>
      <w:r w:rsidRPr="000767DF">
        <w:t>metaverzum</w:t>
      </w:r>
      <w:proofErr w:type="spellEnd"/>
      <w:r w:rsidRPr="000767DF">
        <w:t xml:space="preserve"> přístupné prostřednictvím high-tech souprav pro virtuální nebo rozšířenou realitu (AR), které budou promítat realistické, interaktivní obrazy na fyzické okolí. </w:t>
      </w:r>
    </w:p>
    <w:p w14:paraId="4E5F6D77" w14:textId="5E087915" w:rsidR="000767DF" w:rsidRPr="000767DF" w:rsidRDefault="000767DF" w:rsidP="000767DF">
      <w:pPr>
        <w:spacing w:after="210" w:line="240" w:lineRule="auto"/>
      </w:pPr>
      <w:r w:rsidRPr="000767DF">
        <w:lastRenderedPageBreak/>
        <w:t xml:space="preserve">Tento svět je "trvalý", tedy existuje a vyvíjí se, i když s ním neinteragují žádní lidé. Sluchátka pro virtuální realitu (VR) </w:t>
      </w:r>
      <w:r w:rsidR="00293679">
        <w:t>už</w:t>
      </w:r>
      <w:r w:rsidRPr="000767DF">
        <w:t xml:space="preserve"> umožňují lidem ponořit se do digitálního prostředí her, ale nyní se AR posouvá o krok dál a umisťuje objekty do "reálného" světa.</w:t>
      </w:r>
    </w:p>
    <w:p w14:paraId="228B254F" w14:textId="7835C3BE" w:rsidR="005E66A3" w:rsidRPr="005E66A3" w:rsidRDefault="005E66A3" w:rsidP="005E66A3">
      <w:pPr>
        <w:spacing w:after="210" w:line="240" w:lineRule="auto"/>
      </w:pPr>
      <w:r w:rsidRPr="005E66A3">
        <w:rPr>
          <w:i/>
          <w:iCs/>
        </w:rPr>
        <w:t xml:space="preserve">„Proč je to důležité? Protože i když je </w:t>
      </w:r>
      <w:proofErr w:type="spellStart"/>
      <w:r w:rsidRPr="005E66A3">
        <w:rPr>
          <w:i/>
          <w:iCs/>
        </w:rPr>
        <w:t>metaverzum</w:t>
      </w:r>
      <w:proofErr w:type="spellEnd"/>
      <w:r w:rsidRPr="005E66A3">
        <w:rPr>
          <w:i/>
          <w:iCs/>
        </w:rPr>
        <w:t xml:space="preserve"> v krátkodobém horizontu možná přehnaně populární, myslíme si, že v dlouhodobém horizontu by mohla být budoucností mobilního internetu. Před deseti lety se internet vyvinul z webového prohlížeče na stolním počítači v mobilní připojení, které je vždy s vámi, ať jste kdekoli. </w:t>
      </w:r>
      <w:r w:rsidR="00463E8F">
        <w:rPr>
          <w:i/>
          <w:iCs/>
        </w:rPr>
        <w:t>Nyní d</w:t>
      </w:r>
      <w:r w:rsidRPr="005E66A3">
        <w:rPr>
          <w:i/>
          <w:iCs/>
        </w:rPr>
        <w:t xml:space="preserve">íky </w:t>
      </w:r>
      <w:proofErr w:type="spellStart"/>
      <w:r w:rsidRPr="005E66A3">
        <w:rPr>
          <w:i/>
          <w:iCs/>
        </w:rPr>
        <w:t>metaverzu</w:t>
      </w:r>
      <w:proofErr w:type="spellEnd"/>
      <w:r w:rsidR="00463E8F">
        <w:rPr>
          <w:i/>
          <w:iCs/>
        </w:rPr>
        <w:t xml:space="preserve"> </w:t>
      </w:r>
      <w:r w:rsidRPr="005E66A3">
        <w:rPr>
          <w:i/>
          <w:iCs/>
        </w:rPr>
        <w:t xml:space="preserve">vyskočí mobilní internet lidem z kapes a stane </w:t>
      </w:r>
      <w:r>
        <w:rPr>
          <w:i/>
          <w:iCs/>
        </w:rPr>
        <w:t xml:space="preserve">se </w:t>
      </w:r>
      <w:r w:rsidRPr="005E66A3">
        <w:rPr>
          <w:i/>
          <w:iCs/>
        </w:rPr>
        <w:t>digitální stopou, která může obohatit a vylepšit okolní svět,“</w:t>
      </w:r>
      <w:r w:rsidRPr="005E66A3">
        <w:t xml:space="preserve"> vysvětluje </w:t>
      </w:r>
      <w:hyperlink r:id="rId11" w:history="1">
        <w:r w:rsidRPr="005E66A3">
          <w:t xml:space="preserve">Jonathan </w:t>
        </w:r>
        <w:proofErr w:type="spellStart"/>
        <w:r w:rsidRPr="005E66A3">
          <w:t>Tseng</w:t>
        </w:r>
        <w:proofErr w:type="spellEnd"/>
      </w:hyperlink>
      <w:r w:rsidRPr="005E66A3">
        <w:t>.</w:t>
      </w:r>
    </w:p>
    <w:p w14:paraId="5760666A" w14:textId="094E4DFC" w:rsidR="005E66A3" w:rsidRPr="005E66A3" w:rsidRDefault="005E66A3" w:rsidP="005E66A3">
      <w:pPr>
        <w:spacing w:line="240" w:lineRule="auto"/>
      </w:pPr>
      <w:r w:rsidRPr="005E66A3">
        <w:t xml:space="preserve">Možnosti jsou nekonečné. Spotřebitelé se mohou pomocí sluchátek teleportovat na olympijské hry, změnit si výhled z okna na karibskou pláž nebo boxovat s Mikem Tysonem. </w:t>
      </w:r>
      <w:proofErr w:type="spellStart"/>
      <w:r w:rsidRPr="005E66A3">
        <w:t>Metaver</w:t>
      </w:r>
      <w:r w:rsidR="00FB582F">
        <w:t>zum</w:t>
      </w:r>
      <w:proofErr w:type="spellEnd"/>
      <w:r w:rsidRPr="005E66A3">
        <w:t xml:space="preserve"> také oživí internet věcí a mohl</w:t>
      </w:r>
      <w:r w:rsidR="00FB582F">
        <w:t>y</w:t>
      </w:r>
      <w:r w:rsidRPr="005E66A3">
        <w:t xml:space="preserve"> by</w:t>
      </w:r>
      <w:r w:rsidR="00FB582F">
        <w:t xml:space="preserve"> se zde</w:t>
      </w:r>
      <w:r w:rsidRPr="005E66A3">
        <w:t xml:space="preserve"> dokonce vydávat vlastní peníze.</w:t>
      </w:r>
    </w:p>
    <w:p w14:paraId="40E1AF1C" w14:textId="0A7FEBFF" w:rsidR="00BD223A" w:rsidRPr="00BC7A07" w:rsidRDefault="00D40A73" w:rsidP="00BD223A">
      <w:pPr>
        <w:spacing w:after="120"/>
        <w:rPr>
          <w:b/>
        </w:rPr>
      </w:pPr>
      <w:r>
        <w:rPr>
          <w:b/>
        </w:rPr>
        <w:t>Zpět do reality</w:t>
      </w:r>
    </w:p>
    <w:p w14:paraId="77635CD0" w14:textId="201D517B" w:rsidR="00D40A73" w:rsidRPr="00D40A73" w:rsidRDefault="00D40A73" w:rsidP="00D40A73">
      <w:pPr>
        <w:spacing w:line="240" w:lineRule="auto"/>
      </w:pPr>
      <w:r w:rsidRPr="00D40A73">
        <w:t xml:space="preserve">Potenciál je sice obrovský, ale než se </w:t>
      </w:r>
      <w:proofErr w:type="spellStart"/>
      <w:r w:rsidRPr="00D40A73">
        <w:t>metaver</w:t>
      </w:r>
      <w:r w:rsidR="00FB582F">
        <w:t>zum</w:t>
      </w:r>
      <w:proofErr w:type="spellEnd"/>
      <w:r w:rsidRPr="00D40A73">
        <w:t xml:space="preserve"> rozšíří, musí se technologie zdokonalit. Aby se náhlavní soupravy pro rozšířenou realitu staly komerčně životaschopnými, je třeba zvýšit výpočetní výkon, výdrž baterie, projektory a konstrukci rámu, a to si vyžádá čas. Existují také etické obavy. Navzdory slibu Facebooku, že </w:t>
      </w:r>
      <w:proofErr w:type="spellStart"/>
      <w:r w:rsidRPr="00D40A73">
        <w:t>metaver</w:t>
      </w:r>
      <w:r w:rsidR="00FB582F">
        <w:t>zum</w:t>
      </w:r>
      <w:proofErr w:type="spellEnd"/>
      <w:r w:rsidRPr="00D40A73">
        <w:t xml:space="preserve"> bude otevřeným a rozmanitým prostorem, není jasné, jak by internetoví giganti mohli spolupracovat, aby toho dosáhli, a zda se herní průmysl dokáže otřepat ze své problematické historie. Existují obavy, že </w:t>
      </w:r>
      <w:proofErr w:type="spellStart"/>
      <w:r w:rsidRPr="00D40A73">
        <w:t>metaver</w:t>
      </w:r>
      <w:r w:rsidR="002423A0">
        <w:t>zum</w:t>
      </w:r>
      <w:proofErr w:type="spellEnd"/>
      <w:r w:rsidRPr="00D40A73">
        <w:t xml:space="preserve"> by mohl</w:t>
      </w:r>
      <w:r w:rsidR="002423A0">
        <w:t>o</w:t>
      </w:r>
      <w:r w:rsidRPr="00D40A73">
        <w:t xml:space="preserve"> zhoršit </w:t>
      </w:r>
      <w:r w:rsidR="002423A0">
        <w:t>„</w:t>
      </w:r>
      <w:r w:rsidRPr="00D40A73">
        <w:t>dvoustupňový</w:t>
      </w:r>
      <w:r w:rsidR="002423A0">
        <w:t>“</w:t>
      </w:r>
      <w:r w:rsidRPr="00D40A73">
        <w:t xml:space="preserve"> systém, který vylučuje ty, kdo nemají přístup k internetu, zatímco pouhá povaha </w:t>
      </w:r>
      <w:proofErr w:type="spellStart"/>
      <w:r w:rsidRPr="00D40A73">
        <w:t>metaverza</w:t>
      </w:r>
      <w:proofErr w:type="spellEnd"/>
      <w:r w:rsidRPr="00D40A73">
        <w:t xml:space="preserve"> znamená, že by mohla být ještě návykovější než 2D mobilní aplikace.</w:t>
      </w:r>
    </w:p>
    <w:p w14:paraId="18AB44EB" w14:textId="6BB77DD7" w:rsidR="00BD223A" w:rsidRPr="00BC7A07" w:rsidRDefault="00D40A73" w:rsidP="00BD223A">
      <w:pPr>
        <w:spacing w:after="120"/>
        <w:rPr>
          <w:b/>
        </w:rPr>
      </w:pPr>
      <w:r>
        <w:rPr>
          <w:b/>
        </w:rPr>
        <w:t>Důsledky v dodavatelském řetězci</w:t>
      </w:r>
    </w:p>
    <w:p w14:paraId="3A846F05" w14:textId="6FF6A044" w:rsidR="00D40A73" w:rsidRDefault="00D40A73" w:rsidP="00D40A73">
      <w:pPr>
        <w:spacing w:line="240" w:lineRule="auto"/>
      </w:pPr>
      <w:r w:rsidRPr="00D40A73">
        <w:t xml:space="preserve">Je tedy třeba opatrnosti. Ty firmy, kterým se podaří tyto technologické problémy vyřešit a vyhnout se etickým a regulačním problémům, by mohly být na vrcholu </w:t>
      </w:r>
      <w:r w:rsidR="00CD1D5F">
        <w:t xml:space="preserve">díky </w:t>
      </w:r>
      <w:r w:rsidRPr="00D40A73">
        <w:t>příběhu růstu</w:t>
      </w:r>
      <w:r w:rsidR="00CD1D5F">
        <w:t>, který bude</w:t>
      </w:r>
      <w:r w:rsidRPr="00D40A73">
        <w:t xml:space="preserve"> trva</w:t>
      </w:r>
      <w:r w:rsidR="00CD1D5F">
        <w:t xml:space="preserve">t </w:t>
      </w:r>
      <w:r w:rsidRPr="00D40A73">
        <w:t xml:space="preserve">několik desetiletí. </w:t>
      </w:r>
    </w:p>
    <w:p w14:paraId="214DAB1E" w14:textId="7E51C608" w:rsidR="00BC34F6" w:rsidRPr="00BC34F6" w:rsidRDefault="00BC34F6" w:rsidP="00BC34F6">
      <w:pPr>
        <w:spacing w:line="240" w:lineRule="auto"/>
      </w:pPr>
      <w:r w:rsidRPr="00BC34F6">
        <w:t>Pokud američtí giganti jako Apple uvedou v příštích dvou až třech letech na trh značkové náhlavní soupravy pro virtuální realitu (VR) (Facebook již jednu takovou soupravu uvedl na trh, ale chystá i ambicióznější verze), budou z toho těžit především technologické hardwarové firmy. Počáteční zvýšení tržeb bude pravděpodobně omezené</w:t>
      </w:r>
      <w:r>
        <w:t>.</w:t>
      </w:r>
      <w:r w:rsidRPr="00BC34F6">
        <w:t xml:space="preserve"> Očekává se, že náhlavní soupravy budou stát přibližně 3 000 USD a budou </w:t>
      </w:r>
      <w:r>
        <w:t xml:space="preserve">tak </w:t>
      </w:r>
      <w:r w:rsidRPr="00BC34F6">
        <w:t xml:space="preserve">pro mnohé nedostupné. Nicméně integrace hardwaru a softwaru by nakonec měla podpořit vyšší ocenění (valuaci) některých firem. </w:t>
      </w:r>
    </w:p>
    <w:p w14:paraId="482B0064" w14:textId="191594E7" w:rsidR="00BC34F6" w:rsidRPr="00BC34F6" w:rsidRDefault="00BC34F6" w:rsidP="00BC34F6">
      <w:pPr>
        <w:spacing w:line="240" w:lineRule="auto"/>
      </w:pPr>
      <w:r w:rsidRPr="00BC34F6">
        <w:t>Dodavatelé klíčových komponent, jako jsou specializované procesory, senzory a ovladače displejů, by mohli být prvními, kteří z trendu budou profitovat. Společnostem, které vyrábějí 3D senzory, by se mohla zvýšit valuace, protože náhlavní soupravy nebudou tak závislé na kamerách</w:t>
      </w:r>
      <w:r>
        <w:t>.</w:t>
      </w:r>
      <w:r w:rsidR="008D1E99">
        <w:t xml:space="preserve"> </w:t>
      </w:r>
      <w:r w:rsidR="003343C4">
        <w:t>Díky umělé inteligenci by mohly získat větší pozornost také</w:t>
      </w:r>
      <w:r w:rsidR="008D1E99">
        <w:t xml:space="preserve"> </w:t>
      </w:r>
      <w:r w:rsidRPr="00BC34F6">
        <w:t>firmy vyrábějící procesory pro 3D grafiku a zařízení pro zpracování dat v reálném čase. Velmi žádaná by byla každá firma, která by dokázala vyřešit problémy spojené se „</w:t>
      </w:r>
      <w:proofErr w:type="spellStart"/>
      <w:r w:rsidRPr="00BC34F6">
        <w:t>see-through</w:t>
      </w:r>
      <w:proofErr w:type="spellEnd"/>
      <w:r w:rsidRPr="00BC34F6">
        <w:t>“ laserovými čočkami.</w:t>
      </w:r>
    </w:p>
    <w:p w14:paraId="4DC7B580" w14:textId="77777777" w:rsidR="00B24AE7" w:rsidRDefault="003343C4" w:rsidP="00B24AE7">
      <w:pPr>
        <w:spacing w:line="240" w:lineRule="auto"/>
      </w:pPr>
      <w:r w:rsidRPr="003343C4">
        <w:t xml:space="preserve">Software a aplikace se budou pravděpodobně vyvíjet souběžně s hardwarem a náhlavními soupravami, jak budou produkty přijímány širším trhem. Společnosti, které je budou dodávat, budou schopné nejlépe využít výhod </w:t>
      </w:r>
      <w:proofErr w:type="spellStart"/>
      <w:r w:rsidRPr="003343C4">
        <w:t>metaverza</w:t>
      </w:r>
      <w:proofErr w:type="spellEnd"/>
      <w:r w:rsidRPr="003343C4">
        <w:t xml:space="preserve"> (aplikace a platformy mají obvykle vyšší marže než </w:t>
      </w:r>
      <w:proofErr w:type="spellStart"/>
      <w:r w:rsidRPr="003343C4">
        <w:t>komoditizovaný</w:t>
      </w:r>
      <w:proofErr w:type="spellEnd"/>
      <w:r w:rsidRPr="003343C4">
        <w:t xml:space="preserve"> technologický hardware) a inzerenti je budou jistě následovat. Herní platformy, které již expandovaly do </w:t>
      </w:r>
      <w:proofErr w:type="spellStart"/>
      <w:r w:rsidRPr="003343C4">
        <w:t>metaverza</w:t>
      </w:r>
      <w:proofErr w:type="spellEnd"/>
      <w:r w:rsidRPr="003343C4">
        <w:t>, by měly začít zaznamenávat větší finanční dopady s tím, jak kupní síla mladších hráčů poroste.</w:t>
      </w:r>
      <w:r w:rsidRPr="003343C4">
        <w:br/>
      </w:r>
    </w:p>
    <w:p w14:paraId="295A937A" w14:textId="77777777" w:rsidR="008D1E99" w:rsidRDefault="00B24AE7" w:rsidP="00B24AE7">
      <w:pPr>
        <w:spacing w:line="240" w:lineRule="auto"/>
        <w:rPr>
          <w:b/>
        </w:rPr>
      </w:pPr>
      <w:r>
        <w:rPr>
          <w:b/>
        </w:rPr>
        <w:t xml:space="preserve">Mocností </w:t>
      </w:r>
      <w:proofErr w:type="spellStart"/>
      <w:r>
        <w:rPr>
          <w:b/>
        </w:rPr>
        <w:t>metaverza</w:t>
      </w:r>
      <w:proofErr w:type="spellEnd"/>
      <w:r>
        <w:rPr>
          <w:b/>
        </w:rPr>
        <w:t xml:space="preserve"> by se mohla stát Asie </w:t>
      </w:r>
    </w:p>
    <w:p w14:paraId="289B9278" w14:textId="0B893247" w:rsidR="00B24AE7" w:rsidRPr="00B24AE7" w:rsidRDefault="00B24AE7" w:rsidP="00B24AE7">
      <w:pPr>
        <w:spacing w:line="240" w:lineRule="auto"/>
      </w:pPr>
      <w:r w:rsidRPr="00B24AE7">
        <w:t xml:space="preserve">Americké firmy nejsou samy, kdo se chce stát součástí </w:t>
      </w:r>
      <w:proofErr w:type="spellStart"/>
      <w:r w:rsidRPr="00B24AE7">
        <w:t>metaverza</w:t>
      </w:r>
      <w:proofErr w:type="spellEnd"/>
      <w:r w:rsidRPr="00B24AE7">
        <w:t xml:space="preserve">. Přijímá ho i několik čínských firem, včetně společností </w:t>
      </w:r>
      <w:proofErr w:type="spellStart"/>
      <w:r w:rsidRPr="00B24AE7">
        <w:t>Tencent</w:t>
      </w:r>
      <w:proofErr w:type="spellEnd"/>
      <w:r w:rsidRPr="00B24AE7">
        <w:t xml:space="preserve">, </w:t>
      </w:r>
      <w:proofErr w:type="spellStart"/>
      <w:r w:rsidRPr="00B24AE7">
        <w:t>Netease</w:t>
      </w:r>
      <w:proofErr w:type="spellEnd"/>
      <w:r w:rsidRPr="00B24AE7">
        <w:t xml:space="preserve"> a </w:t>
      </w:r>
      <w:proofErr w:type="spellStart"/>
      <w:r w:rsidRPr="00B24AE7">
        <w:t>Baidu</w:t>
      </w:r>
      <w:proofErr w:type="spellEnd"/>
      <w:r w:rsidRPr="00B24AE7">
        <w:t xml:space="preserve">. </w:t>
      </w:r>
      <w:proofErr w:type="spellStart"/>
      <w:r w:rsidRPr="00B24AE7">
        <w:t>Tencent</w:t>
      </w:r>
      <w:proofErr w:type="spellEnd"/>
      <w:r w:rsidRPr="00B24AE7">
        <w:t xml:space="preserve"> je akcionářem společnosti </w:t>
      </w:r>
      <w:proofErr w:type="spellStart"/>
      <w:r w:rsidRPr="00B24AE7">
        <w:t>Epic</w:t>
      </w:r>
      <w:proofErr w:type="spellEnd"/>
      <w:r w:rsidRPr="00B24AE7">
        <w:t xml:space="preserve"> </w:t>
      </w:r>
      <w:proofErr w:type="spellStart"/>
      <w:r w:rsidRPr="00B24AE7">
        <w:t>Games</w:t>
      </w:r>
      <w:proofErr w:type="spellEnd"/>
      <w:r w:rsidRPr="00B24AE7">
        <w:t xml:space="preserve">, tvůrce </w:t>
      </w:r>
      <w:proofErr w:type="spellStart"/>
      <w:r w:rsidRPr="00B24AE7">
        <w:t>Fortnite</w:t>
      </w:r>
      <w:proofErr w:type="spellEnd"/>
      <w:r w:rsidRPr="00B24AE7">
        <w:t xml:space="preserve">, která má vlastní 3D herní </w:t>
      </w:r>
      <w:proofErr w:type="spellStart"/>
      <w:r w:rsidRPr="00B24AE7">
        <w:t>engine</w:t>
      </w:r>
      <w:proofErr w:type="spellEnd"/>
      <w:r w:rsidRPr="00B24AE7">
        <w:t xml:space="preserve">, a zdá se, že má dobré předpoklady k tomu, aby vytvořila různé způsoby, jak zákazníkům převést 2D činnosti, jako je objednávání večeře, nákup jízdenek, nákup </w:t>
      </w:r>
      <w:r w:rsidRPr="00B24AE7">
        <w:lastRenderedPageBreak/>
        <w:t xml:space="preserve">pojištění a návštěva lékaře, do 3D světa. Navzdory nedávnému zvýšení regulace v Číně se zdá, že vláda podporuje rozvoj </w:t>
      </w:r>
      <w:proofErr w:type="spellStart"/>
      <w:r w:rsidRPr="00B24AE7">
        <w:t>metaverza</w:t>
      </w:r>
      <w:proofErr w:type="spellEnd"/>
      <w:r w:rsidRPr="00B24AE7">
        <w:t xml:space="preserve"> (ačkoli pravděpodobně zavede omezení na obsah pro nezletilé).</w:t>
      </w:r>
    </w:p>
    <w:p w14:paraId="6E833F11" w14:textId="77777777" w:rsidR="005D0735" w:rsidRPr="005D0735" w:rsidRDefault="005D0735" w:rsidP="005D0735">
      <w:pPr>
        <w:spacing w:line="240" w:lineRule="auto"/>
      </w:pPr>
      <w:r w:rsidRPr="005D0735">
        <w:t xml:space="preserve">Mezitím partnerství mezi více než 400 korejskými společnostmi, včetně společnosti Samsung, vytvořilo Korejskou alianci pro </w:t>
      </w:r>
      <w:proofErr w:type="spellStart"/>
      <w:r w:rsidRPr="005D0735">
        <w:t>metaverzum</w:t>
      </w:r>
      <w:proofErr w:type="spellEnd"/>
      <w:r w:rsidRPr="005D0735">
        <w:t xml:space="preserve">. Jedna korejská technologická firma již má 200 milionů uživatelů </w:t>
      </w:r>
      <w:proofErr w:type="spellStart"/>
      <w:r w:rsidRPr="005D0735">
        <w:t>metaverza</w:t>
      </w:r>
      <w:proofErr w:type="spellEnd"/>
      <w:r w:rsidRPr="005D0735">
        <w:t xml:space="preserve"> a 700 000 tvůrců. Asie je také domovem velké části světových výrobců komponent a náhlavních souprav pro VR a AR, což znamená, že by se tento region mohl stát velmocí v oblasti hardwaru k </w:t>
      </w:r>
      <w:proofErr w:type="spellStart"/>
      <w:r w:rsidRPr="005D0735">
        <w:t>metaverzu</w:t>
      </w:r>
      <w:proofErr w:type="spellEnd"/>
      <w:r w:rsidRPr="005D0735">
        <w:t xml:space="preserve"> ruku v ruce s tím, jak tyto se tyto technologie rozvíjejí a poptávka po nich roste.</w:t>
      </w:r>
    </w:p>
    <w:p w14:paraId="6FA09F9E" w14:textId="58D52973" w:rsidR="003524F1" w:rsidRPr="003524F1" w:rsidRDefault="005D0735" w:rsidP="003524F1">
      <w:pPr>
        <w:spacing w:after="120"/>
        <w:rPr>
          <w:b/>
        </w:rPr>
      </w:pPr>
      <w:r>
        <w:rPr>
          <w:b/>
        </w:rPr>
        <w:t>Závěr</w:t>
      </w:r>
    </w:p>
    <w:p w14:paraId="358705FC" w14:textId="6B80761C" w:rsidR="005D0735" w:rsidRPr="005D0735" w:rsidRDefault="005D0735" w:rsidP="005D0735">
      <w:r>
        <w:t xml:space="preserve">Vraťme se k naší původní otázce: má </w:t>
      </w:r>
      <w:proofErr w:type="spellStart"/>
      <w:r>
        <w:t>metaverzum</w:t>
      </w:r>
      <w:proofErr w:type="spellEnd"/>
      <w:r>
        <w:t xml:space="preserve"> pro investory význam? </w:t>
      </w:r>
      <w:r w:rsidR="00463E8F">
        <w:t>„</w:t>
      </w:r>
      <w:r>
        <w:t xml:space="preserve">Myslíme si, že ano. Možná ne okamžitě – bude trvat nějaký čas, než se technologie vyvine, náklady klesnou a </w:t>
      </w:r>
      <w:proofErr w:type="spellStart"/>
      <w:r>
        <w:t>metaverzum</w:t>
      </w:r>
      <w:proofErr w:type="spellEnd"/>
      <w:r>
        <w:t xml:space="preserve"> se dostane do hlavního proudu. Zdá se však, že již nyní získala mnohem větší oblibu v celosvětovém měřítku a mezi velkými technologickými hráči než její předchozí inkarnace. A v delším časovém horizontu by mohla mít velký dopad na společnosti v celém globálním technologickém dodavatelském řetězci, a nakonec i na zbytek 2D ekonomiky. </w:t>
      </w:r>
      <w:proofErr w:type="spellStart"/>
      <w:r>
        <w:t>Metaverzum</w:t>
      </w:r>
      <w:proofErr w:type="spellEnd"/>
      <w:r>
        <w:t xml:space="preserve"> není další internet, je to budoucnost toho současného</w:t>
      </w:r>
      <w:r w:rsidR="00463E8F">
        <w:t xml:space="preserve">,“ uzavírá Jonathan </w:t>
      </w:r>
      <w:proofErr w:type="spellStart"/>
      <w:r w:rsidR="00463E8F">
        <w:t>Tseng</w:t>
      </w:r>
      <w:proofErr w:type="spellEnd"/>
      <w:r>
        <w:t>.</w:t>
      </w:r>
    </w:p>
    <w:p w14:paraId="27C73435" w14:textId="77777777" w:rsidR="005D0735" w:rsidRDefault="005D0735" w:rsidP="00725052">
      <w:pPr>
        <w:spacing w:line="240" w:lineRule="auto"/>
        <w:rPr>
          <w:b/>
        </w:rPr>
      </w:pPr>
    </w:p>
    <w:p w14:paraId="277BA5CD" w14:textId="24FA0CBB" w:rsidR="00725052" w:rsidRPr="00BC4EF0" w:rsidRDefault="00725052" w:rsidP="00725052">
      <w:pPr>
        <w:spacing w:line="240" w:lineRule="auto"/>
      </w:pPr>
      <w:r w:rsidRPr="00455A3C">
        <w:rPr>
          <w:b/>
        </w:rPr>
        <w:t>Pro více informací kontaktujte:</w:t>
      </w:r>
    </w:p>
    <w:p w14:paraId="4D946650" w14:textId="46CEA880"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480E25"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12"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5322805B" w14:textId="605EEE72" w:rsidR="00221EE4" w:rsidRPr="00D404D5" w:rsidRDefault="00D404D5" w:rsidP="00D404D5">
      <w:pPr>
        <w:shd w:val="clear" w:color="auto" w:fill="FFFFFF"/>
        <w:spacing w:before="0" w:line="360" w:lineRule="atLeast"/>
        <w:rPr>
          <w:rFonts w:ascii="Open Sans" w:hAnsi="Open Sans" w:cs="Open Sans"/>
          <w:color w:val="333333"/>
          <w:spacing w:val="15"/>
          <w:sz w:val="21"/>
          <w:szCs w:val="21"/>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3CB0FE4" w14:textId="77777777" w:rsidR="00172511" w:rsidRDefault="00172511" w:rsidP="00172511">
      <w:pPr>
        <w:rPr>
          <w:rFonts w:ascii="Calibri" w:hAnsi="Calibri" w:cs="Calibri"/>
          <w:b/>
          <w:bCs/>
        </w:rPr>
      </w:pPr>
      <w:r>
        <w:rPr>
          <w:b/>
          <w:bCs/>
        </w:rPr>
        <w:lastRenderedPageBreak/>
        <w:t>Důležité upozornění</w:t>
      </w:r>
    </w:p>
    <w:p w14:paraId="402D7545" w14:textId="77777777" w:rsidR="00172511" w:rsidRDefault="00172511" w:rsidP="00172511">
      <w:pPr>
        <w:pStyle w:val="Normlnweb"/>
        <w:shd w:val="clear" w:color="auto" w:fill="FFFFFF"/>
        <w:spacing w:before="0"/>
        <w:rPr>
          <w:lang w:eastAsia="en-US"/>
        </w:rPr>
      </w:pPr>
      <w:r>
        <w:rPr>
          <w:color w:val="000000"/>
          <w:lang w:eastAsia="en-US"/>
        </w:rPr>
        <w:t xml:space="preserve">Tento dokument nesmí být bez předchozího souhlasu rozmnožován nebo rozšiřován. </w:t>
      </w:r>
    </w:p>
    <w:p w14:paraId="2AF8B0EF" w14:textId="77777777" w:rsidR="00172511" w:rsidRDefault="00172511" w:rsidP="00172511">
      <w:pPr>
        <w:pStyle w:val="Normlnweb"/>
        <w:shd w:val="clear" w:color="auto" w:fill="FFFFFF"/>
        <w:spacing w:before="0" w:after="240"/>
        <w:rPr>
          <w:lang w:eastAsia="en-US"/>
        </w:rPr>
      </w:pPr>
      <w:proofErr w:type="spellStart"/>
      <w:r>
        <w:rPr>
          <w:color w:val="000000"/>
          <w:lang w:eastAsia="en-US"/>
        </w:rPr>
        <w:t>Fidelity</w:t>
      </w:r>
      <w:proofErr w:type="spellEnd"/>
      <w:r>
        <w:rPr>
          <w:color w:val="000000"/>
          <w:lang w:eastAsia="en-US"/>
        </w:rPr>
        <w:t xml:space="preserve"> International poskytuje informace pouze o svých produktech a neposkytuje investiční poradenství na základě individuálních potřeb, jinak než konkrétně řádně stanovené oprávněnou společností při formální komunikaci s klientem. </w:t>
      </w:r>
    </w:p>
    <w:p w14:paraId="21A884A3" w14:textId="77777777" w:rsidR="00172511" w:rsidRDefault="00172511" w:rsidP="00172511">
      <w:pPr>
        <w:pStyle w:val="Normlnweb"/>
        <w:shd w:val="clear" w:color="auto" w:fill="FFFFFF"/>
        <w:spacing w:before="0" w:after="240"/>
        <w:rPr>
          <w:lang w:eastAsia="en-US"/>
        </w:rPr>
      </w:pPr>
      <w:r>
        <w:rPr>
          <w:color w:val="000000"/>
          <w:lang w:eastAsia="en-US"/>
        </w:rPr>
        <w:t xml:space="preserve">Jako </w:t>
      </w:r>
      <w:proofErr w:type="spellStart"/>
      <w:r>
        <w:rPr>
          <w:color w:val="000000"/>
          <w:lang w:eastAsia="en-US"/>
        </w:rPr>
        <w:t>Fidelity</w:t>
      </w:r>
      <w:proofErr w:type="spellEnd"/>
      <w:r>
        <w:rPr>
          <w:color w:val="000000"/>
          <w:lang w:eastAsia="en-US"/>
        </w:rP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58F52373" w14:textId="77777777" w:rsidR="00172511" w:rsidRDefault="00172511" w:rsidP="00172511">
      <w:pPr>
        <w:pStyle w:val="Normlnweb"/>
        <w:shd w:val="clear" w:color="auto" w:fill="FFFFFF"/>
        <w:spacing w:before="0" w:after="240"/>
        <w:rPr>
          <w:lang w:eastAsia="en-US"/>
        </w:rPr>
      </w:pPr>
      <w:r>
        <w:rPr>
          <w:color w:val="000000"/>
          <w:lang w:eastAsia="en-US"/>
        </w:rPr>
        <w:t xml:space="preserve">Všechny názory představují stanoviska společnosti </w:t>
      </w:r>
      <w:proofErr w:type="spellStart"/>
      <w:r>
        <w:rPr>
          <w:color w:val="000000"/>
          <w:lang w:eastAsia="en-US"/>
        </w:rPr>
        <w:t>Fidelity</w:t>
      </w:r>
      <w:proofErr w:type="spellEnd"/>
      <w:r>
        <w:rPr>
          <w:color w:val="000000"/>
          <w:lang w:eastAsia="en-US"/>
        </w:rPr>
        <w:t xml:space="preserve">, není-li uvedeno jinak. </w:t>
      </w:r>
      <w:proofErr w:type="spellStart"/>
      <w:r>
        <w:rPr>
          <w:color w:val="000000"/>
          <w:lang w:eastAsia="en-US"/>
        </w:rPr>
        <w:t>Fidelity</w:t>
      </w:r>
      <w:proofErr w:type="spellEnd"/>
      <w:r>
        <w:rPr>
          <w:color w:val="000000"/>
          <w:lang w:eastAsia="en-US"/>
        </w:rPr>
        <w:t xml:space="preserve">, </w:t>
      </w:r>
      <w:proofErr w:type="spellStart"/>
      <w:r>
        <w:rPr>
          <w:color w:val="000000"/>
          <w:lang w:eastAsia="en-US"/>
        </w:rPr>
        <w:t>Fidelity</w:t>
      </w:r>
      <w:proofErr w:type="spellEnd"/>
      <w:r>
        <w:rPr>
          <w:color w:val="000000"/>
          <w:lang w:eastAsia="en-US"/>
        </w:rPr>
        <w:t xml:space="preserve"> International a logo </w:t>
      </w:r>
      <w:proofErr w:type="spellStart"/>
      <w:r>
        <w:rPr>
          <w:color w:val="000000"/>
          <w:lang w:eastAsia="en-US"/>
        </w:rPr>
        <w:t>Fidelity</w:t>
      </w:r>
      <w:proofErr w:type="spellEnd"/>
      <w:r>
        <w:rPr>
          <w:color w:val="000000"/>
          <w:lang w:eastAsia="en-US"/>
        </w:rPr>
        <w:t xml:space="preserve"> International a symbol měny F jsou všechno ochrannými známkami společnosti FIL Limited.</w:t>
      </w:r>
    </w:p>
    <w:p w14:paraId="4F5DE27F" w14:textId="26D7D6BB" w:rsidR="00172511" w:rsidRDefault="00172511" w:rsidP="00172511">
      <w:pPr>
        <w:pStyle w:val="Normlnweb"/>
        <w:shd w:val="clear" w:color="auto" w:fill="FFFFFF"/>
        <w:spacing w:before="0" w:after="240"/>
        <w:rPr>
          <w:lang w:eastAsia="en-US"/>
        </w:rPr>
      </w:pPr>
      <w:r>
        <w:rPr>
          <w:color w:val="000000"/>
          <w:lang w:eastAsia="en-US"/>
        </w:rPr>
        <w:t xml:space="preserve">Údaje nejsou auditované. Odborníci provádějící průzkum zahrnují společníky a analytiky.  Jakákoli prohlášení či vyjádření učiněná v tomto dokumentu nejsou pro společnost </w:t>
      </w:r>
      <w:proofErr w:type="spellStart"/>
      <w:r>
        <w:rPr>
          <w:color w:val="000000"/>
          <w:lang w:eastAsia="en-US"/>
        </w:rPr>
        <w:t>Fidelity</w:t>
      </w:r>
      <w:proofErr w:type="spellEnd"/>
      <w:r>
        <w:rPr>
          <w:color w:val="000000"/>
          <w:lang w:eastAsia="en-US"/>
        </w:rPr>
        <w:t xml:space="preserve">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3" w:history="1">
        <w:r>
          <w:rPr>
            <w:rStyle w:val="Hypertextovodkaz"/>
            <w:lang w:eastAsia="en-US"/>
          </w:rPr>
          <w:t>https://www.fidelityinternational.com</w:t>
        </w:r>
      </w:hyperlink>
      <w:r>
        <w:rPr>
          <w:color w:val="000000"/>
          <w:lang w:eastAsia="en-US"/>
        </w:rPr>
        <w:t xml:space="preserve"> nebo od našich </w:t>
      </w:r>
      <w:proofErr w:type="spellStart"/>
      <w:r>
        <w:rPr>
          <w:color w:val="000000"/>
          <w:lang w:eastAsia="en-US"/>
        </w:rPr>
        <w:t>distributořů</w:t>
      </w:r>
      <w:proofErr w:type="spellEnd"/>
      <w:r>
        <w:rPr>
          <w:color w:val="000000"/>
          <w:lang w:eastAsia="en-US"/>
        </w:rPr>
        <w:t xml:space="preserve"> a našeho evropského Centra služeb v Lucembursku, sídlící na adrese FIL (</w:t>
      </w:r>
      <w:proofErr w:type="spellStart"/>
      <w:r>
        <w:rPr>
          <w:color w:val="000000"/>
          <w:lang w:eastAsia="en-US"/>
        </w:rPr>
        <w:t>Luxembourg</w:t>
      </w:r>
      <w:proofErr w:type="spellEnd"/>
      <w:r>
        <w:rPr>
          <w:color w:val="000000"/>
          <w:lang w:eastAsia="en-US"/>
        </w:rPr>
        <w:t xml:space="preserve">) S.A. 2a, </w:t>
      </w:r>
      <w:proofErr w:type="spellStart"/>
      <w:r>
        <w:rPr>
          <w:color w:val="000000"/>
          <w:lang w:eastAsia="en-US"/>
        </w:rPr>
        <w:t>rue</w:t>
      </w:r>
      <w:proofErr w:type="spellEnd"/>
      <w:r>
        <w:rPr>
          <w:color w:val="000000"/>
          <w:lang w:eastAsia="en-US"/>
        </w:rPr>
        <w:t xml:space="preserve"> Albert </w:t>
      </w:r>
      <w:proofErr w:type="spellStart"/>
      <w:r>
        <w:rPr>
          <w:color w:val="000000"/>
          <w:lang w:eastAsia="en-US"/>
        </w:rPr>
        <w:t>Borschette</w:t>
      </w:r>
      <w:proofErr w:type="spellEnd"/>
      <w:r>
        <w:rPr>
          <w:color w:val="000000"/>
          <w:lang w:eastAsia="en-US"/>
        </w:rPr>
        <w:t xml:space="preserve"> BP 2174 L-1021 </w:t>
      </w:r>
      <w:proofErr w:type="spellStart"/>
      <w:r>
        <w:rPr>
          <w:color w:val="000000"/>
          <w:lang w:eastAsia="en-US"/>
        </w:rPr>
        <w:t>Luxembourg</w:t>
      </w:r>
      <w:proofErr w:type="spellEnd"/>
      <w:r>
        <w:rPr>
          <w:color w:val="000000"/>
          <w:lang w:eastAsia="en-US"/>
        </w:rPr>
        <w:t>.</w:t>
      </w:r>
    </w:p>
    <w:p w14:paraId="5FC6F54E" w14:textId="77777777" w:rsidR="00172511" w:rsidRDefault="00172511" w:rsidP="00172511">
      <w:pPr>
        <w:pStyle w:val="Normlnweb"/>
        <w:shd w:val="clear" w:color="auto" w:fill="FFFFFF"/>
        <w:spacing w:before="0" w:after="240"/>
        <w:rPr>
          <w:lang w:eastAsia="en-US"/>
        </w:rPr>
      </w:pPr>
      <w:proofErr w:type="spellStart"/>
      <w:r>
        <w:rPr>
          <w:color w:val="000000"/>
          <w:lang w:eastAsia="en-US"/>
        </w:rPr>
        <w:t>Fidelity</w:t>
      </w:r>
      <w:proofErr w:type="spellEnd"/>
      <w:r>
        <w:rPr>
          <w:color w:val="000000"/>
          <w:lang w:eastAsia="en-US"/>
        </w:rPr>
        <w:t xml:space="preserve"> </w:t>
      </w:r>
      <w:proofErr w:type="spellStart"/>
      <w:r>
        <w:rPr>
          <w:color w:val="000000"/>
          <w:lang w:eastAsia="en-US"/>
        </w:rPr>
        <w:t>Funds</w:t>
      </w:r>
      <w:proofErr w:type="spellEnd"/>
      <w:r>
        <w:rPr>
          <w:color w:val="000000"/>
          <w:lang w:eastAsia="en-US"/>
        </w:rPr>
        <w:t xml:space="preserve"> “FF” je otevřená investiční společnost (SKIPCP) sídlící v Lucembursku, která disponuje akciemi různých tříd. Společnost FIL </w:t>
      </w:r>
      <w:proofErr w:type="spellStart"/>
      <w:r>
        <w:rPr>
          <w:color w:val="000000"/>
          <w:lang w:eastAsia="en-US"/>
        </w:rPr>
        <w:t>Investment</w:t>
      </w:r>
      <w:proofErr w:type="spellEnd"/>
      <w:r>
        <w:rPr>
          <w:color w:val="000000"/>
          <w:lang w:eastAsia="en-US"/>
        </w:rPr>
        <w:t xml:space="preserve"> Management (</w:t>
      </w:r>
      <w:proofErr w:type="spellStart"/>
      <w:r>
        <w:rPr>
          <w:color w:val="000000"/>
          <w:lang w:eastAsia="en-US"/>
        </w:rPr>
        <w:t>Luxembourg</w:t>
      </w:r>
      <w:proofErr w:type="spellEnd"/>
      <w:r>
        <w:rPr>
          <w:color w:val="000000"/>
          <w:lang w:eastAsia="en-US"/>
        </w:rPr>
        <w:t xml:space="preserve">) S.A. si vyhrazuje právo ukončit nabízení podfondu a jeho podílových jednotek na trhu v souladu s článkem 93 písm. a) směrnice 2009/65/ES a článkem 32 písm. a) směrnice 2011/61/EU. Toto ukončení bude předem oznámeno v Lucembursku. </w:t>
      </w:r>
    </w:p>
    <w:p w14:paraId="6EBDA300" w14:textId="77777777" w:rsidR="00172511" w:rsidRDefault="00172511" w:rsidP="00172511">
      <w:pPr>
        <w:pStyle w:val="Normlnweb"/>
        <w:shd w:val="clear" w:color="auto" w:fill="FFFFFF"/>
        <w:spacing w:before="0"/>
        <w:rPr>
          <w:lang w:eastAsia="en-US"/>
        </w:rPr>
      </w:pPr>
      <w:r>
        <w:rPr>
          <w:color w:val="000000"/>
          <w:lang w:eastAsia="en-US"/>
        </w:rPr>
        <w:t>Vydala společnost FIL (</w:t>
      </w:r>
      <w:proofErr w:type="spellStart"/>
      <w:r>
        <w:rPr>
          <w:color w:val="000000"/>
          <w:lang w:eastAsia="en-US"/>
        </w:rPr>
        <w:t>Luxembourg</w:t>
      </w:r>
      <w:proofErr w:type="spellEnd"/>
      <w:r>
        <w:rPr>
          <w:color w:val="000000"/>
          <w:lang w:eastAsia="en-US"/>
        </w:rPr>
        <w:t>) S.A., které bylo uděleno povolení a podléhá dohledu dozorčí komise CSSF (</w:t>
      </w:r>
      <w:proofErr w:type="spellStart"/>
      <w:r>
        <w:rPr>
          <w:color w:val="000000"/>
          <w:lang w:eastAsia="en-US"/>
        </w:rPr>
        <w:t>Commission</w:t>
      </w:r>
      <w:proofErr w:type="spellEnd"/>
      <w:r>
        <w:rPr>
          <w:color w:val="000000"/>
          <w:lang w:eastAsia="en-US"/>
        </w:rPr>
        <w:t xml:space="preserve"> de </w:t>
      </w:r>
      <w:proofErr w:type="spellStart"/>
      <w:r>
        <w:rPr>
          <w:color w:val="000000"/>
          <w:lang w:eastAsia="en-US"/>
        </w:rPr>
        <w:t>Surveillance</w:t>
      </w:r>
      <w:proofErr w:type="spellEnd"/>
      <w:r>
        <w:rPr>
          <w:color w:val="000000"/>
          <w:lang w:eastAsia="en-US"/>
        </w:rPr>
        <w:t xml:space="preserve"> </w:t>
      </w:r>
      <w:proofErr w:type="spellStart"/>
      <w:r>
        <w:rPr>
          <w:color w:val="000000"/>
          <w:lang w:eastAsia="en-US"/>
        </w:rPr>
        <w:t>du</w:t>
      </w:r>
      <w:proofErr w:type="spellEnd"/>
      <w:r>
        <w:rPr>
          <w:color w:val="000000"/>
          <w:lang w:eastAsia="en-US"/>
        </w:rPr>
        <w:t xml:space="preserve"> </w:t>
      </w:r>
      <w:proofErr w:type="spellStart"/>
      <w:r>
        <w:rPr>
          <w:color w:val="000000"/>
          <w:lang w:eastAsia="en-US"/>
        </w:rPr>
        <w:t>Secteur</w:t>
      </w:r>
      <w:proofErr w:type="spellEnd"/>
      <w:r>
        <w:rPr>
          <w:color w:val="000000"/>
          <w:lang w:eastAsia="en-US"/>
        </w:rPr>
        <w:t xml:space="preserve"> </w:t>
      </w:r>
      <w:proofErr w:type="spellStart"/>
      <w:r>
        <w:rPr>
          <w:color w:val="000000"/>
          <w:lang w:eastAsia="en-US"/>
        </w:rPr>
        <w:t>Financier</w:t>
      </w:r>
      <w:proofErr w:type="spellEnd"/>
      <w:r>
        <w:rPr>
          <w:color w:val="000000"/>
          <w:lang w:eastAsia="en-US"/>
        </w:rPr>
        <w:t xml:space="preserve">). </w:t>
      </w:r>
    </w:p>
    <w:p w14:paraId="7C2325E4" w14:textId="77777777" w:rsidR="00172511" w:rsidRDefault="00172511" w:rsidP="00172511">
      <w:pPr>
        <w:pStyle w:val="Normlnweb"/>
        <w:shd w:val="clear" w:color="auto" w:fill="FFFFFF"/>
        <w:spacing w:before="0"/>
        <w:rPr>
          <w:lang w:eastAsia="en-US"/>
        </w:rPr>
      </w:pPr>
      <w:r>
        <w:rPr>
          <w:color w:val="000000"/>
          <w:lang w:eastAsia="en-US"/>
        </w:rPr>
        <w:t xml:space="preserve">Investoři a potenciální investoři mohou získat informace o svých právech ve spojení se stížnostmi a soudními spory na tomto odkazu: </w:t>
      </w:r>
      <w:hyperlink r:id="rId14" w:history="1">
        <w:r>
          <w:rPr>
            <w:rStyle w:val="Hypertextovodkaz"/>
            <w:lang w:eastAsia="en-US"/>
          </w:rPr>
          <w:t>https://www.fidelity.cz</w:t>
        </w:r>
      </w:hyperlink>
      <w:r>
        <w:rPr>
          <w:color w:val="000000"/>
          <w:lang w:eastAsia="en-US"/>
        </w:rPr>
        <w:t xml:space="preserve"> (v češtině).</w:t>
      </w:r>
    </w:p>
    <w:p w14:paraId="6B71956F" w14:textId="77777777" w:rsidR="00172511" w:rsidRDefault="00172511" w:rsidP="00172511">
      <w:pPr>
        <w:rPr>
          <w:lang w:eastAsia="en-US"/>
        </w:rPr>
      </w:pPr>
    </w:p>
    <w:p w14:paraId="131D4607" w14:textId="663F2C78" w:rsidR="00A7414F" w:rsidRPr="00534D3B" w:rsidRDefault="00534D3B" w:rsidP="00172511">
      <w:pPr>
        <w:pStyle w:val="FIL3Body"/>
        <w:jc w:val="both"/>
        <w:rPr>
          <w:rFonts w:cs="Arial"/>
          <w:color w:val="000000"/>
          <w:sz w:val="20"/>
          <w:szCs w:val="20"/>
          <w:lang w:val="cs-CZ" w:eastAsia="en-US"/>
        </w:rPr>
      </w:pPr>
      <w:r w:rsidRPr="00534D3B">
        <w:rPr>
          <w:rFonts w:cs="Arial"/>
          <w:color w:val="000000"/>
          <w:sz w:val="20"/>
          <w:szCs w:val="20"/>
          <w:lang w:val="cs-CZ" w:eastAsia="en-US"/>
        </w:rPr>
        <w:t>MKAT10354</w:t>
      </w:r>
    </w:p>
    <w:sectPr w:rsidR="00A7414F" w:rsidRPr="00534D3B" w:rsidSect="002F1160">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2CF1" w14:textId="77777777" w:rsidR="00B81F91" w:rsidRDefault="00B81F91">
      <w:r>
        <w:separator/>
      </w:r>
    </w:p>
  </w:endnote>
  <w:endnote w:type="continuationSeparator" w:id="0">
    <w:p w14:paraId="1E8BAD51" w14:textId="77777777" w:rsidR="00B81F91" w:rsidRDefault="00B8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A38E" w14:textId="77777777" w:rsidR="00B81F91" w:rsidRDefault="00B81F91">
      <w:r>
        <w:separator/>
      </w:r>
    </w:p>
  </w:footnote>
  <w:footnote w:type="continuationSeparator" w:id="0">
    <w:p w14:paraId="32F9A2E4" w14:textId="77777777" w:rsidR="00B81F91" w:rsidRDefault="00B81F91">
      <w:r>
        <w:continuationSeparator/>
      </w:r>
    </w:p>
  </w:footnote>
  <w:footnote w:type="continuationNotice" w:id="1">
    <w:p w14:paraId="266D17CB" w14:textId="77777777" w:rsidR="00B81F91" w:rsidRDefault="00B81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27D"/>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DDA"/>
    <w:rsid w:val="0021765E"/>
    <w:rsid w:val="0021778F"/>
    <w:rsid w:val="00221EE4"/>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3E8F"/>
    <w:rsid w:val="00464475"/>
    <w:rsid w:val="004705A5"/>
    <w:rsid w:val="0047275D"/>
    <w:rsid w:val="00475575"/>
    <w:rsid w:val="00480C04"/>
    <w:rsid w:val="00480E25"/>
    <w:rsid w:val="004863EC"/>
    <w:rsid w:val="00487542"/>
    <w:rsid w:val="0049074E"/>
    <w:rsid w:val="004907F4"/>
    <w:rsid w:val="00493172"/>
    <w:rsid w:val="004955BB"/>
    <w:rsid w:val="004A0EA9"/>
    <w:rsid w:val="004A3C5B"/>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4D3B"/>
    <w:rsid w:val="005351B3"/>
    <w:rsid w:val="005437B4"/>
    <w:rsid w:val="0054471F"/>
    <w:rsid w:val="005459F5"/>
    <w:rsid w:val="00545B68"/>
    <w:rsid w:val="00546CB9"/>
    <w:rsid w:val="00546DF7"/>
    <w:rsid w:val="0055121B"/>
    <w:rsid w:val="00552B6E"/>
    <w:rsid w:val="00557A71"/>
    <w:rsid w:val="00560AED"/>
    <w:rsid w:val="005623DD"/>
    <w:rsid w:val="00563B23"/>
    <w:rsid w:val="0056452E"/>
    <w:rsid w:val="005656FB"/>
    <w:rsid w:val="00567010"/>
    <w:rsid w:val="00570CA6"/>
    <w:rsid w:val="00570F18"/>
    <w:rsid w:val="005720AF"/>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49F1"/>
    <w:rsid w:val="005D5B6F"/>
    <w:rsid w:val="005D72C2"/>
    <w:rsid w:val="005D7C68"/>
    <w:rsid w:val="005E1A38"/>
    <w:rsid w:val="005E2179"/>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043C"/>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5577"/>
    <w:rsid w:val="00756B91"/>
    <w:rsid w:val="00771D19"/>
    <w:rsid w:val="00774584"/>
    <w:rsid w:val="007747BE"/>
    <w:rsid w:val="00781625"/>
    <w:rsid w:val="00782512"/>
    <w:rsid w:val="00785A6D"/>
    <w:rsid w:val="00792CC3"/>
    <w:rsid w:val="007947C6"/>
    <w:rsid w:val="00794CF3"/>
    <w:rsid w:val="00794E4C"/>
    <w:rsid w:val="007A0160"/>
    <w:rsid w:val="007A40C6"/>
    <w:rsid w:val="007A4F20"/>
    <w:rsid w:val="007A6AA0"/>
    <w:rsid w:val="007A6B19"/>
    <w:rsid w:val="007B3045"/>
    <w:rsid w:val="007B49DF"/>
    <w:rsid w:val="007B5296"/>
    <w:rsid w:val="007B655B"/>
    <w:rsid w:val="007B7639"/>
    <w:rsid w:val="007C00BA"/>
    <w:rsid w:val="007C18F2"/>
    <w:rsid w:val="007C1AC1"/>
    <w:rsid w:val="007C1FEC"/>
    <w:rsid w:val="007C46D1"/>
    <w:rsid w:val="007C5731"/>
    <w:rsid w:val="007E0A4B"/>
    <w:rsid w:val="007E326A"/>
    <w:rsid w:val="007F1637"/>
    <w:rsid w:val="007F1B11"/>
    <w:rsid w:val="007F4ABD"/>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1E99"/>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1B17"/>
    <w:rsid w:val="00B04103"/>
    <w:rsid w:val="00B047E9"/>
    <w:rsid w:val="00B05867"/>
    <w:rsid w:val="00B10EC0"/>
    <w:rsid w:val="00B123FF"/>
    <w:rsid w:val="00B134B6"/>
    <w:rsid w:val="00B142F4"/>
    <w:rsid w:val="00B17E1E"/>
    <w:rsid w:val="00B21C56"/>
    <w:rsid w:val="00B24AE7"/>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1F91"/>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34F6"/>
    <w:rsid w:val="00BC4EF0"/>
    <w:rsid w:val="00BC6E99"/>
    <w:rsid w:val="00BC7C00"/>
    <w:rsid w:val="00BD1EFB"/>
    <w:rsid w:val="00BD223A"/>
    <w:rsid w:val="00BD57C8"/>
    <w:rsid w:val="00BD5879"/>
    <w:rsid w:val="00BD5A0C"/>
    <w:rsid w:val="00BD5B58"/>
    <w:rsid w:val="00BE0E15"/>
    <w:rsid w:val="00BE3D8C"/>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1D5F"/>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4D5"/>
    <w:rsid w:val="00D40A73"/>
    <w:rsid w:val="00D40EA0"/>
    <w:rsid w:val="00D4392D"/>
    <w:rsid w:val="00D45F62"/>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91D8A"/>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yperlink" Target="https://www.fidelityinternation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ska.krohova@crestcom.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delity.cz/search/tag/fil/global/authors/jonathan-tse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delity.cz/search/tag/fil/global/authors/jonathan-tseng" TargetMode="External"/><Relationship Id="rId14" Type="http://schemas.openxmlformats.org/officeDocument/2006/relationships/hyperlink" Target="https://www.fidelit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ukldnnas902\restricted\faim\Adnan%20-%20FAIM\Perspectives\Climate%20Solutions\2201%20Blog%20-%20Climate%20solutions%20-%20reuse\Charts%20-%20blog%20reus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"Nový versus starý" karbonová stopa oblečení</a:t>
            </a:r>
            <a:endParaRPr lang="en-GB"/>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autoTitleDeleted val="0"/>
    <c:plotArea>
      <c:layout>
        <c:manualLayout>
          <c:layoutTarget val="inner"/>
          <c:xMode val="edge"/>
          <c:yMode val="edge"/>
          <c:x val="0.3809099466015024"/>
          <c:y val="0.13968381427400572"/>
          <c:w val="0.59380269707665856"/>
          <c:h val="0.84596010942250588"/>
        </c:manualLayout>
      </c:layout>
      <c:barChart>
        <c:barDir val="bar"/>
        <c:grouping val="clustered"/>
        <c:varyColors val="0"/>
        <c:ser>
          <c:idx val="0"/>
          <c:order val="0"/>
          <c:tx>
            <c:strRef>
              <c:f>Sheet2!$B$10</c:f>
              <c:strCache>
                <c:ptCount val="1"/>
                <c:pt idx="0">
                  <c:v>Used item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Sheet2!$A$11:$A$13</c:f>
              <c:strCache>
                <c:ptCount val="3"/>
                <c:pt idx="0">
                  <c:v>Water use (gallons)</c:v>
                </c:pt>
                <c:pt idx="1">
                  <c:v>Energy demand (kWh)</c:v>
                </c:pt>
                <c:pt idx="2">
                  <c:v>Carbon emmissions (lbs of CO2e)</c:v>
                </c:pt>
              </c:strCache>
            </c:strRef>
          </c:cat>
          <c:val>
            <c:numRef>
              <c:f>Sheet2!$B$11:$B$13</c:f>
              <c:numCache>
                <c:formatCode>General</c:formatCode>
                <c:ptCount val="3"/>
                <c:pt idx="0">
                  <c:v>1.2</c:v>
                </c:pt>
                <c:pt idx="1">
                  <c:v>4.8</c:v>
                </c:pt>
                <c:pt idx="2">
                  <c:v>3.7</c:v>
                </c:pt>
              </c:numCache>
            </c:numRef>
          </c:val>
          <c:extLst>
            <c:ext xmlns:c16="http://schemas.microsoft.com/office/drawing/2014/chart" uri="{C3380CC4-5D6E-409C-BE32-E72D297353CC}">
              <c16:uniqueId val="{00000000-4EB5-43E7-9A8A-34A118B8BB86}"/>
            </c:ext>
          </c:extLst>
        </c:ser>
        <c:ser>
          <c:idx val="1"/>
          <c:order val="1"/>
          <c:tx>
            <c:strRef>
              <c:f>Sheet2!$C$10</c:f>
              <c:strCache>
                <c:ptCount val="1"/>
                <c:pt idx="0">
                  <c:v>New item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Sheet2!$A$11:$A$13</c:f>
              <c:strCache>
                <c:ptCount val="3"/>
                <c:pt idx="0">
                  <c:v>Water use (gallons)</c:v>
                </c:pt>
                <c:pt idx="1">
                  <c:v>Energy demand (kWh)</c:v>
                </c:pt>
                <c:pt idx="2">
                  <c:v>Carbon emmissions (lbs of CO2e)</c:v>
                </c:pt>
              </c:strCache>
            </c:strRef>
          </c:cat>
          <c:val>
            <c:numRef>
              <c:f>Sheet2!$C$11:$C$13</c:f>
              <c:numCache>
                <c:formatCode>General</c:formatCode>
                <c:ptCount val="3"/>
                <c:pt idx="0">
                  <c:v>78.5</c:v>
                </c:pt>
                <c:pt idx="1">
                  <c:v>38.799999999999997</c:v>
                </c:pt>
                <c:pt idx="2">
                  <c:v>21.1</c:v>
                </c:pt>
              </c:numCache>
            </c:numRef>
          </c:val>
          <c:extLst>
            <c:ext xmlns:c16="http://schemas.microsoft.com/office/drawing/2014/chart" uri="{C3380CC4-5D6E-409C-BE32-E72D297353CC}">
              <c16:uniqueId val="{00000001-4EB5-43E7-9A8A-34A118B8BB86}"/>
            </c:ext>
          </c:extLst>
        </c:ser>
        <c:dLbls>
          <c:showLegendKey val="0"/>
          <c:showVal val="0"/>
          <c:showCatName val="0"/>
          <c:showSerName val="0"/>
          <c:showPercent val="0"/>
          <c:showBubbleSize val="0"/>
        </c:dLbls>
        <c:gapWidth val="182"/>
        <c:axId val="464685656"/>
        <c:axId val="464686048"/>
      </c:barChart>
      <c:catAx>
        <c:axId val="464685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64686048"/>
        <c:crosses val="autoZero"/>
        <c:auto val="1"/>
        <c:lblAlgn val="ctr"/>
        <c:lblOffset val="100"/>
        <c:noMultiLvlLbl val="0"/>
      </c:catAx>
      <c:valAx>
        <c:axId val="464686048"/>
        <c:scaling>
          <c:orientation val="minMax"/>
        </c:scaling>
        <c:delete val="1"/>
        <c:axPos val="b"/>
        <c:numFmt formatCode="General" sourceLinked="1"/>
        <c:majorTickMark val="none"/>
        <c:minorTickMark val="none"/>
        <c:tickLblPos val="nextTo"/>
        <c:crossAx val="464685656"/>
        <c:crosses val="autoZero"/>
        <c:crossBetween val="between"/>
      </c:valAx>
      <c:spPr>
        <a:noFill/>
        <a:ln>
          <a:noFill/>
        </a:ln>
        <a:effectLst/>
      </c:spPr>
    </c:plotArea>
    <c:legend>
      <c:legendPos val="b"/>
      <c:layout>
        <c:manualLayout>
          <c:xMode val="edge"/>
          <c:yMode val="edge"/>
          <c:x val="0.72051262557697526"/>
          <c:y val="0.2029844313162695"/>
          <c:w val="0.22104353335143451"/>
          <c:h val="0.183073092624977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Obrázek 1" desc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0800" y="50800"/>
          <a:ext cx="5553075" cy="2666365"/>
        </a:xfrm>
        <a:prstGeom xmlns:a="http://schemas.openxmlformats.org/drawingml/2006/main" prst="rect">
          <a:avLst/>
        </a:prstGeom>
        <a:noFill xmlns:a="http://schemas.openxmlformats.org/drawingml/2006/main"/>
        <a:ln xmlns:a="http://schemas.openxmlformats.org/drawingml/2006/main">
          <a:noFill/>
        </a:ln>
      </cdr:spPr>
    </cdr:pic>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E820-4CA7-413D-8B7D-693E8E27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1560</Words>
  <Characters>9818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11356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4</cp:revision>
  <cp:lastPrinted>2015-11-30T16:29:00Z</cp:lastPrinted>
  <dcterms:created xsi:type="dcterms:W3CDTF">2022-02-01T09:32:00Z</dcterms:created>
  <dcterms:modified xsi:type="dcterms:W3CDTF">2022-02-02T09:58:00Z</dcterms:modified>
</cp:coreProperties>
</file>